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36" w:rsidRPr="00043AA3" w:rsidRDefault="00F13E78" w:rsidP="00043AA3">
      <w:pPr>
        <w:pStyle w:val="Default"/>
        <w:jc w:val="both"/>
      </w:pPr>
      <w:r>
        <w:rPr>
          <w:rFonts w:eastAsia="Calibri"/>
        </w:rPr>
        <w:t xml:space="preserve">No </w:t>
      </w:r>
      <w:r w:rsidR="00A90C71">
        <w:rPr>
          <w:rFonts w:eastAsia="Calibri"/>
        </w:rPr>
        <w:t>sexto</w:t>
      </w:r>
      <w:r>
        <w:rPr>
          <w:rFonts w:eastAsia="Calibri"/>
        </w:rPr>
        <w:t xml:space="preserve"> dia do mês de </w:t>
      </w:r>
      <w:r w:rsidR="00A90C71">
        <w:rPr>
          <w:rFonts w:eastAsia="Calibri"/>
        </w:rPr>
        <w:t>setembro</w:t>
      </w:r>
      <w:r>
        <w:rPr>
          <w:rFonts w:eastAsia="Calibri"/>
        </w:rPr>
        <w:t xml:space="preserve"> de dois mil e dezoito, ás nove horas</w:t>
      </w:r>
      <w:r w:rsidR="00A90C71">
        <w:rPr>
          <w:rFonts w:eastAsia="Calibri"/>
        </w:rPr>
        <w:t>, na Sala de Reuniões do Gabinete</w:t>
      </w:r>
      <w:r>
        <w:rPr>
          <w:rFonts w:eastAsia="Calibri"/>
        </w:rPr>
        <w:t xml:space="preserve"> </w:t>
      </w:r>
      <w:proofErr w:type="gramStart"/>
      <w:r>
        <w:rPr>
          <w:rFonts w:eastAsia="Calibri"/>
        </w:rPr>
        <w:t>da SEMA</w:t>
      </w:r>
      <w:proofErr w:type="gramEnd"/>
      <w:r>
        <w:rPr>
          <w:rFonts w:eastAsia="Calibri"/>
        </w:rPr>
        <w:t>, Av. Borges de Medeiros, nº 261, 1</w:t>
      </w:r>
      <w:r w:rsidR="00A90C71">
        <w:rPr>
          <w:rFonts w:eastAsia="Calibri"/>
        </w:rPr>
        <w:t>4</w:t>
      </w:r>
      <w:r>
        <w:rPr>
          <w:rFonts w:eastAsia="Calibri"/>
        </w:rPr>
        <w:t>º andar, ocorreu a quadragésima qu</w:t>
      </w:r>
      <w:r w:rsidR="00A90C71">
        <w:rPr>
          <w:rFonts w:eastAsia="Calibri"/>
        </w:rPr>
        <w:t>in</w:t>
      </w:r>
      <w:r>
        <w:rPr>
          <w:rFonts w:eastAsia="Calibri"/>
        </w:rPr>
        <w:t xml:space="preserve">ta reunião ordinária da Câmara Técnica de Assuntos Institucionais e Jurídicos – CTIJ. </w:t>
      </w:r>
      <w:r>
        <w:rPr>
          <w:rFonts w:eastAsia="Calibri"/>
          <w:b/>
          <w:bCs/>
          <w:u w:val="single"/>
        </w:rPr>
        <w:t>Membros Presentes:</w:t>
      </w:r>
      <w:r w:rsidRPr="00A90C71">
        <w:rPr>
          <w:rFonts w:eastAsia="Calibri"/>
          <w:b/>
          <w:bCs/>
        </w:rPr>
        <w:t xml:space="preserve"> </w:t>
      </w:r>
      <w:r w:rsidR="00A30A1B">
        <w:rPr>
          <w:rFonts w:eastAsia="Calibri"/>
          <w:b/>
          <w:bCs/>
        </w:rPr>
        <w:t xml:space="preserve">Verônica Della </w:t>
      </w:r>
      <w:proofErr w:type="spellStart"/>
      <w:r w:rsidR="00A30A1B">
        <w:rPr>
          <w:rFonts w:eastAsia="Calibri"/>
          <w:b/>
          <w:bCs/>
        </w:rPr>
        <w:t>Mea</w:t>
      </w:r>
      <w:proofErr w:type="spellEnd"/>
      <w:r w:rsidR="00A30A1B">
        <w:rPr>
          <w:rFonts w:eastAsia="Calibri"/>
          <w:bCs/>
        </w:rPr>
        <w:t xml:space="preserve"> – Comitê Baixo Jacuí; </w:t>
      </w:r>
      <w:r w:rsidR="00A30A1B">
        <w:rPr>
          <w:rFonts w:eastAsia="Calibri"/>
          <w:b/>
          <w:bCs/>
        </w:rPr>
        <w:t xml:space="preserve">Adelaide </w:t>
      </w:r>
      <w:proofErr w:type="spellStart"/>
      <w:r w:rsidR="00A30A1B">
        <w:rPr>
          <w:rFonts w:eastAsia="Calibri"/>
          <w:b/>
          <w:bCs/>
        </w:rPr>
        <w:t>Juvena</w:t>
      </w:r>
      <w:proofErr w:type="spellEnd"/>
      <w:r w:rsidR="00A30A1B">
        <w:rPr>
          <w:rFonts w:eastAsia="Calibri"/>
          <w:b/>
          <w:bCs/>
        </w:rPr>
        <w:t xml:space="preserve"> Ramos </w:t>
      </w:r>
      <w:r w:rsidR="00A30A1B">
        <w:rPr>
          <w:rFonts w:eastAsia="Calibri"/>
          <w:bCs/>
        </w:rPr>
        <w:t xml:space="preserve">– Comitê Taquari Antas; </w:t>
      </w:r>
      <w:proofErr w:type="spellStart"/>
      <w:r w:rsidR="00A30A1B">
        <w:rPr>
          <w:rFonts w:eastAsia="Calibri"/>
          <w:b/>
          <w:bCs/>
        </w:rPr>
        <w:t>Claudir</w:t>
      </w:r>
      <w:proofErr w:type="spellEnd"/>
      <w:r w:rsidR="00A30A1B">
        <w:rPr>
          <w:rFonts w:eastAsia="Calibri"/>
          <w:b/>
          <w:bCs/>
        </w:rPr>
        <w:t xml:space="preserve"> Alves</w:t>
      </w:r>
      <w:r w:rsidR="00A30A1B">
        <w:rPr>
          <w:rFonts w:eastAsia="Calibri"/>
          <w:bCs/>
        </w:rPr>
        <w:t xml:space="preserve"> – Comitê Passo Fundo; </w:t>
      </w:r>
      <w:proofErr w:type="spellStart"/>
      <w:r w:rsidR="00A30A1B">
        <w:rPr>
          <w:rFonts w:eastAsia="Calibri"/>
          <w:b/>
          <w:bCs/>
        </w:rPr>
        <w:t>Eldo</w:t>
      </w:r>
      <w:proofErr w:type="spellEnd"/>
      <w:r w:rsidR="00A30A1B">
        <w:rPr>
          <w:rFonts w:eastAsia="Calibri"/>
          <w:b/>
          <w:bCs/>
        </w:rPr>
        <w:t xml:space="preserve"> Frantz Costa</w:t>
      </w:r>
      <w:r w:rsidR="00A30A1B">
        <w:rPr>
          <w:rFonts w:eastAsia="Calibri"/>
          <w:bCs/>
        </w:rPr>
        <w:t xml:space="preserve"> – Comitê Santa Maria; </w:t>
      </w:r>
      <w:r w:rsidR="00A30A1B">
        <w:rPr>
          <w:rFonts w:eastAsia="Calibri"/>
          <w:b/>
          <w:bCs/>
        </w:rPr>
        <w:t xml:space="preserve">Maria Patrícia </w:t>
      </w:r>
      <w:proofErr w:type="spellStart"/>
      <w:r w:rsidR="00A30A1B">
        <w:rPr>
          <w:rFonts w:eastAsia="Calibri"/>
          <w:b/>
          <w:bCs/>
        </w:rPr>
        <w:t>Möllmann</w:t>
      </w:r>
      <w:proofErr w:type="spellEnd"/>
      <w:r w:rsidR="00A30A1B">
        <w:rPr>
          <w:rFonts w:eastAsia="Calibri"/>
          <w:bCs/>
        </w:rPr>
        <w:t xml:space="preserve"> – SEMA. </w:t>
      </w:r>
      <w:r w:rsidR="00A30A1B">
        <w:rPr>
          <w:rFonts w:eastAsia="Calibri"/>
          <w:b/>
          <w:bCs/>
          <w:u w:val="single"/>
        </w:rPr>
        <w:t>Demais Presentes:</w:t>
      </w:r>
      <w:r w:rsidR="00A30A1B">
        <w:rPr>
          <w:rFonts w:eastAsia="Calibri"/>
          <w:bCs/>
        </w:rPr>
        <w:t xml:space="preserve"> </w:t>
      </w:r>
      <w:r w:rsidR="00A30A1B">
        <w:rPr>
          <w:rFonts w:eastAsia="Calibri"/>
          <w:b/>
          <w:bCs/>
        </w:rPr>
        <w:t>Sérgio Cardoso</w:t>
      </w:r>
      <w:r w:rsidR="00A30A1B">
        <w:rPr>
          <w:rFonts w:eastAsia="Calibri"/>
          <w:bCs/>
        </w:rPr>
        <w:t xml:space="preserve"> – Comitê Gravataí; </w:t>
      </w:r>
      <w:r w:rsidR="00A30A1B">
        <w:rPr>
          <w:rFonts w:eastAsia="Calibri"/>
          <w:b/>
          <w:bCs/>
        </w:rPr>
        <w:t>Gabriel Frota</w:t>
      </w:r>
      <w:r w:rsidR="00A30A1B">
        <w:rPr>
          <w:rFonts w:eastAsia="Calibri"/>
          <w:bCs/>
        </w:rPr>
        <w:t xml:space="preserve"> – CRH/SEMA. </w:t>
      </w:r>
      <w:r w:rsidR="00A30A1B">
        <w:rPr>
          <w:rFonts w:eastAsia="Calibri"/>
          <w:b/>
          <w:bCs/>
          <w:u w:val="single"/>
        </w:rPr>
        <w:t>Ausências Justificadas:</w:t>
      </w:r>
      <w:r w:rsidR="00A30A1B">
        <w:rPr>
          <w:rFonts w:eastAsia="Calibri"/>
          <w:b/>
          <w:bCs/>
        </w:rPr>
        <w:t xml:space="preserve"> Karla </w:t>
      </w:r>
      <w:proofErr w:type="spellStart"/>
      <w:r w:rsidR="00A30A1B">
        <w:rPr>
          <w:rFonts w:eastAsia="Calibri"/>
          <w:b/>
          <w:bCs/>
        </w:rPr>
        <w:t>Cozza</w:t>
      </w:r>
      <w:proofErr w:type="spellEnd"/>
      <w:r w:rsidR="00A30A1B">
        <w:rPr>
          <w:rFonts w:eastAsia="Calibri"/>
          <w:bCs/>
        </w:rPr>
        <w:t xml:space="preserve"> – Comitê Caí; </w:t>
      </w:r>
      <w:r w:rsidR="00A30A1B">
        <w:rPr>
          <w:rFonts w:eastAsia="Calibri"/>
          <w:b/>
          <w:bCs/>
        </w:rPr>
        <w:t>Paulo Robinson</w:t>
      </w:r>
      <w:r w:rsidR="00A30A1B">
        <w:rPr>
          <w:rFonts w:eastAsia="Calibri"/>
          <w:bCs/>
        </w:rPr>
        <w:t xml:space="preserve"> </w:t>
      </w:r>
      <w:r w:rsidR="002B52FC">
        <w:rPr>
          <w:rFonts w:eastAsia="Calibri"/>
          <w:b/>
          <w:bCs/>
        </w:rPr>
        <w:t xml:space="preserve">Samuel </w:t>
      </w:r>
      <w:r w:rsidR="00A30A1B">
        <w:rPr>
          <w:rFonts w:eastAsia="Calibri"/>
          <w:bCs/>
        </w:rPr>
        <w:t xml:space="preserve">– Comitê Camaquã; </w:t>
      </w:r>
      <w:r w:rsidR="00A30A1B">
        <w:rPr>
          <w:rFonts w:eastAsia="Calibri"/>
          <w:b/>
          <w:bCs/>
        </w:rPr>
        <w:t>André Oliveira</w:t>
      </w:r>
      <w:r w:rsidR="00A30A1B">
        <w:rPr>
          <w:rFonts w:eastAsia="Calibri"/>
          <w:bCs/>
        </w:rPr>
        <w:t xml:space="preserve"> – Comitê Mirim São Gonçalo. Após a realização da 1ª e 2ª chamada, as quais não havia quórum, o Presidente realiza a 3ª chamada, às 9h30min e, após contagem, foi constatado quórum, dando início à reunião. O Presidente </w:t>
      </w:r>
      <w:proofErr w:type="spellStart"/>
      <w:r w:rsidR="00A30A1B">
        <w:rPr>
          <w:rFonts w:eastAsia="Calibri"/>
          <w:b/>
          <w:bCs/>
        </w:rPr>
        <w:t>Eldo</w:t>
      </w:r>
      <w:proofErr w:type="spellEnd"/>
      <w:r w:rsidR="00A30A1B">
        <w:rPr>
          <w:rFonts w:eastAsia="Calibri"/>
          <w:b/>
          <w:bCs/>
        </w:rPr>
        <w:t xml:space="preserve"> Costa </w:t>
      </w:r>
      <w:r w:rsidR="00A30A1B">
        <w:rPr>
          <w:rFonts w:eastAsia="Calibri"/>
          <w:bCs/>
        </w:rPr>
        <w:t xml:space="preserve">aproveita para, na abertura e comunicações, propor que não sejam mais canceladas reuniões por falta de quórum. Propõe que, constatado que não haverá quórum para a reunião, se façam os relatos, registre-se as manifestações e envie à todos os membros para conhecimento, não podendo apenas deliberar sobre nenhuma matéria. Após breves debates, os membros presentes concordam com a proposição e ficou acordado relatar esta decisão na reunião do CRH para nivelamento do procedimento nas outras </w:t>
      </w:r>
      <w:proofErr w:type="spellStart"/>
      <w:r w:rsidR="00A30A1B">
        <w:rPr>
          <w:rFonts w:eastAsia="Calibri"/>
          <w:bCs/>
        </w:rPr>
        <w:t>CT’s</w:t>
      </w:r>
      <w:proofErr w:type="spellEnd"/>
      <w:r w:rsidR="00A30A1B">
        <w:rPr>
          <w:rFonts w:eastAsia="Calibri"/>
          <w:bCs/>
        </w:rPr>
        <w:t xml:space="preserve">. Após, </w:t>
      </w:r>
      <w:r w:rsidR="00A30A1B">
        <w:rPr>
          <w:rFonts w:eastAsia="Calibri"/>
          <w:bCs/>
        </w:rPr>
        <w:tab/>
      </w:r>
      <w:r w:rsidR="000465F8">
        <w:rPr>
          <w:rFonts w:eastAsia="Calibri"/>
          <w:bCs/>
        </w:rPr>
        <w:t xml:space="preserve">o Presidente questiona se há sugestões de inserção ou alteração na ordem do dia. Após breves debates, ficou acordado a inversão do item 2 e 3 da pauta. Após abertura, o Presidente entra na ordem do dia. </w:t>
      </w:r>
      <w:r w:rsidR="000465F8">
        <w:rPr>
          <w:rFonts w:eastAsia="Calibri"/>
          <w:b/>
          <w:bCs/>
          <w:u w:val="single"/>
        </w:rPr>
        <w:t>Item 1. Aprovação da Ata da 44ª Reunião Ordinária da CTIJ:</w:t>
      </w:r>
      <w:r w:rsidR="000465F8">
        <w:rPr>
          <w:rFonts w:eastAsia="Calibri"/>
          <w:bCs/>
        </w:rPr>
        <w:t xml:space="preserve"> Os membros presentes dispensam a leitura da ata e o Presidente coloca a mesma em regime de votação. </w:t>
      </w:r>
      <w:r w:rsidR="000465F8">
        <w:rPr>
          <w:rFonts w:eastAsia="Calibri"/>
          <w:b/>
          <w:bCs/>
        </w:rPr>
        <w:t xml:space="preserve">Aprovado por unanimidade. </w:t>
      </w:r>
      <w:r w:rsidR="000465F8">
        <w:rPr>
          <w:rFonts w:eastAsia="Calibri"/>
          <w:b/>
          <w:bCs/>
          <w:u w:val="single"/>
        </w:rPr>
        <w:t xml:space="preserve">Item 3. </w:t>
      </w:r>
      <w:r w:rsidR="00E559DF">
        <w:rPr>
          <w:rFonts w:eastAsia="Calibri"/>
          <w:b/>
          <w:bCs/>
          <w:u w:val="single"/>
        </w:rPr>
        <w:t>Proposta SEMA de alteração do Decreto 37.033/96 para contemplar situações de Transferência de Outorga não previstas na versão original:</w:t>
      </w:r>
      <w:r w:rsidR="00E559DF">
        <w:rPr>
          <w:rFonts w:eastAsia="Calibri"/>
          <w:bCs/>
        </w:rPr>
        <w:t xml:space="preserve"> Presidente </w:t>
      </w:r>
      <w:proofErr w:type="spellStart"/>
      <w:r w:rsidR="00E559DF">
        <w:rPr>
          <w:rFonts w:eastAsia="Calibri"/>
          <w:b/>
          <w:bCs/>
        </w:rPr>
        <w:t>Eldo</w:t>
      </w:r>
      <w:proofErr w:type="spellEnd"/>
      <w:r w:rsidR="00E559DF">
        <w:rPr>
          <w:rFonts w:eastAsia="Calibri"/>
          <w:b/>
          <w:bCs/>
        </w:rPr>
        <w:t xml:space="preserve"> Costa</w:t>
      </w:r>
      <w:r w:rsidR="00E559DF">
        <w:rPr>
          <w:rFonts w:eastAsia="Calibri"/>
          <w:bCs/>
        </w:rPr>
        <w:t xml:space="preserve"> faz breve relato sobre a matéria. Coloca que, como deliberado na última reunião, a SEMA elaborou uma proposta de alteração do Decreto para debate nesta reunião. </w:t>
      </w:r>
      <w:r w:rsidR="00E559DF" w:rsidRPr="00E559DF">
        <w:rPr>
          <w:rFonts w:eastAsia="Calibri"/>
          <w:b/>
          <w:bCs/>
        </w:rPr>
        <w:t xml:space="preserve">Verônica Della </w:t>
      </w:r>
      <w:proofErr w:type="spellStart"/>
      <w:r w:rsidR="00E559DF" w:rsidRPr="00E559DF">
        <w:rPr>
          <w:rFonts w:eastAsia="Calibri"/>
          <w:b/>
          <w:bCs/>
        </w:rPr>
        <w:t>Mea</w:t>
      </w:r>
      <w:proofErr w:type="spellEnd"/>
      <w:r w:rsidR="00E559DF">
        <w:rPr>
          <w:rFonts w:eastAsia="Calibri"/>
          <w:bCs/>
        </w:rPr>
        <w:t xml:space="preserve">, representante do Comitê Baixo Jacuí, propõe que, como este Decreto é antigo, ao invés de alterar apenas um artigo e ter de trabalhar de novo nele futuramente, se faça toda a revisão e atualização do Decreto com as especificidades atuais do sistema. </w:t>
      </w:r>
      <w:r w:rsidR="00F77C88">
        <w:rPr>
          <w:rFonts w:eastAsia="Calibri"/>
          <w:b/>
          <w:bCs/>
        </w:rPr>
        <w:t>Maria Patrícia</w:t>
      </w:r>
      <w:r w:rsidR="00F77C88">
        <w:rPr>
          <w:rFonts w:eastAsia="Calibri"/>
          <w:bCs/>
        </w:rPr>
        <w:t xml:space="preserve"> propõe que, nesta reunião, se foque os esforços na minuta que já está pronta referente à transferência de outorga para, na próxima reunião, trazer uma minuta de alteração para o restante do Decreto. </w:t>
      </w:r>
      <w:r w:rsidR="00F77C88" w:rsidRPr="00F77C88">
        <w:rPr>
          <w:rFonts w:eastAsia="Calibri"/>
          <w:b/>
          <w:bCs/>
        </w:rPr>
        <w:t>Sérgio Cardoso</w:t>
      </w:r>
      <w:r w:rsidR="00F77C88">
        <w:rPr>
          <w:rFonts w:eastAsia="Calibri"/>
          <w:bCs/>
        </w:rPr>
        <w:t xml:space="preserve">, representante do Comitê Gravataí, faz breve relato sobre a origem da demanda e, </w:t>
      </w:r>
      <w:r w:rsidR="00F77C88" w:rsidRPr="00F77C88">
        <w:rPr>
          <w:rFonts w:eastAsia="Calibri"/>
          <w:b/>
          <w:bCs/>
        </w:rPr>
        <w:t>Fernando Meirelles</w:t>
      </w:r>
      <w:r w:rsidR="00F77C88">
        <w:rPr>
          <w:rFonts w:eastAsia="Calibri"/>
          <w:bCs/>
        </w:rPr>
        <w:t xml:space="preserve">, diretor do DRH, relata sobre as situações de transferências de outorga verificadas pelo DRH. Coloca que nas bacias que não são especiais, estas situações são mais tranquilas de serem resolvidas, pois basta derrubar a outorga anterior e abrir novo processo. Porém, para as bacias especiais, eventualmente poderá haver uma fila que deve ser considerada. </w:t>
      </w:r>
      <w:r w:rsidR="002F7FA1">
        <w:rPr>
          <w:rFonts w:eastAsia="Calibri"/>
          <w:b/>
          <w:bCs/>
        </w:rPr>
        <w:t>Maria Patrícia</w:t>
      </w:r>
      <w:r w:rsidR="002F7FA1">
        <w:rPr>
          <w:rFonts w:eastAsia="Calibri"/>
          <w:bCs/>
        </w:rPr>
        <w:t xml:space="preserve"> coloca que a questão da fila é uma decisão do Comitê sobre a redistribuição do volume de águas das outorgas derrubadas.</w:t>
      </w:r>
      <w:r w:rsidR="00000C0D">
        <w:rPr>
          <w:rFonts w:eastAsia="Calibri"/>
          <w:bCs/>
        </w:rPr>
        <w:t xml:space="preserve"> </w:t>
      </w:r>
      <w:r w:rsidR="00000C0D">
        <w:rPr>
          <w:rFonts w:eastAsia="Calibri"/>
          <w:b/>
          <w:bCs/>
        </w:rPr>
        <w:lastRenderedPageBreak/>
        <w:t>Fernando Meirelles</w:t>
      </w:r>
      <w:r w:rsidR="00000C0D">
        <w:rPr>
          <w:rFonts w:eastAsia="Calibri"/>
          <w:bCs/>
        </w:rPr>
        <w:t xml:space="preserve"> ainda expõe que o Decreto não é claro sobre a questão da espacialidade na transferência de outorga. Cita que agora, nos planos de bacia, há as Unidades de Gestão, sendo possível regrar as transferências de outorga dentro da mesma unidade de gestão, o que inclusive auxilia para o monitoramento e balanço hídrico.</w:t>
      </w:r>
      <w:r w:rsidR="002F7FA1">
        <w:rPr>
          <w:rFonts w:eastAsia="Calibri"/>
          <w:bCs/>
        </w:rPr>
        <w:t xml:space="preserve"> Após breves debates e esclarecimentos, discutiu-se brevemente os artigos do Decreto que necessitam de atualização. Acordado a SEMA elaborar minuta para apreciação na próxima reunião.</w:t>
      </w:r>
      <w:r w:rsidR="00265797">
        <w:rPr>
          <w:rFonts w:eastAsia="Calibri"/>
          <w:bCs/>
        </w:rPr>
        <w:t xml:space="preserve"> </w:t>
      </w:r>
      <w:r w:rsidR="007874E0">
        <w:rPr>
          <w:rFonts w:eastAsia="Calibri"/>
          <w:b/>
          <w:bCs/>
          <w:u w:val="single"/>
        </w:rPr>
        <w:t xml:space="preserve">Item 2. Proposta de Alteração do Regimento Interno do CRH e das </w:t>
      </w:r>
      <w:proofErr w:type="spellStart"/>
      <w:r w:rsidR="007874E0">
        <w:rPr>
          <w:rFonts w:eastAsia="Calibri"/>
          <w:b/>
          <w:bCs/>
          <w:u w:val="single"/>
        </w:rPr>
        <w:t>CT’s</w:t>
      </w:r>
      <w:proofErr w:type="spellEnd"/>
      <w:r w:rsidR="007874E0">
        <w:rPr>
          <w:rFonts w:eastAsia="Calibri"/>
          <w:b/>
          <w:bCs/>
          <w:u w:val="single"/>
        </w:rPr>
        <w:t>:</w:t>
      </w:r>
      <w:r w:rsidR="00043AA3">
        <w:rPr>
          <w:rFonts w:eastAsia="Calibri"/>
          <w:bCs/>
        </w:rPr>
        <w:t xml:space="preserve"> Debateu-se as colaboração enviadas, item por item. Após debates e esclarecimentos, trabalhou-se a matéria até o Capítulo III, ficando acordado finalizar a minuta na próxima reunião. </w:t>
      </w:r>
      <w:r w:rsidR="00043AA3">
        <w:rPr>
          <w:rFonts w:eastAsia="Calibri"/>
          <w:b/>
          <w:bCs/>
          <w:u w:val="single"/>
        </w:rPr>
        <w:t>Item 4. Assuntos Gerais:</w:t>
      </w:r>
      <w:r w:rsidR="00043AA3">
        <w:rPr>
          <w:rFonts w:eastAsia="Calibri"/>
          <w:bCs/>
        </w:rPr>
        <w:t xml:space="preserve"> Não houve inscrições em assuntos gerais. Os membros presentes optaram por agendar a próxima reunião da CTIJ para a data de 18/10/2018, as 9 horas. Com nada mais havendo a tratar, o Preside</w:t>
      </w:r>
      <w:bookmarkStart w:id="0" w:name="_GoBack"/>
      <w:bookmarkEnd w:id="0"/>
      <w:r w:rsidR="00043AA3">
        <w:rPr>
          <w:rFonts w:eastAsia="Calibri"/>
          <w:bCs/>
        </w:rPr>
        <w:t>nte deu a reunião por encerrada.</w:t>
      </w:r>
    </w:p>
    <w:sectPr w:rsidR="00082436" w:rsidRPr="00043AA3">
      <w:headerReference w:type="default" r:id="rId7"/>
      <w:pgSz w:w="11906" w:h="16838"/>
      <w:pgMar w:top="1417" w:right="1701" w:bottom="1417" w:left="1701" w:header="708" w:footer="0" w:gutter="0"/>
      <w:lnNumType w:countBy="1" w:restart="continuou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E0" w:rsidRDefault="007874E0">
      <w:pPr>
        <w:spacing w:after="0" w:line="240" w:lineRule="auto"/>
      </w:pPr>
      <w:r>
        <w:separator/>
      </w:r>
    </w:p>
  </w:endnote>
  <w:endnote w:type="continuationSeparator" w:id="0">
    <w:p w:rsidR="007874E0" w:rsidRDefault="0078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E0" w:rsidRDefault="007874E0">
      <w:pPr>
        <w:spacing w:after="0" w:line="240" w:lineRule="auto"/>
      </w:pPr>
      <w:r>
        <w:separator/>
      </w:r>
    </w:p>
  </w:footnote>
  <w:footnote w:type="continuationSeparator" w:id="0">
    <w:p w:rsidR="007874E0" w:rsidRDefault="00787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E0" w:rsidRDefault="007874E0">
    <w:pPr>
      <w:pStyle w:val="Cabealho"/>
      <w:jc w:val="center"/>
    </w:pPr>
    <w:r>
      <w:rPr>
        <w:noProof/>
        <w:lang w:eastAsia="pt-BR"/>
      </w:rPr>
      <w:drawing>
        <wp:inline distT="0" distB="127000" distL="0" distR="0">
          <wp:extent cx="612140" cy="8032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12140" cy="803275"/>
                  </a:xfrm>
                  <a:prstGeom prst="rect">
                    <a:avLst/>
                  </a:prstGeom>
                  <a:noFill/>
                  <a:ln w="9525">
                    <a:noFill/>
                    <a:miter lim="800000"/>
                    <a:headEnd/>
                    <a:tailEnd/>
                  </a:ln>
                </pic:spPr>
              </pic:pic>
            </a:graphicData>
          </a:graphic>
        </wp:inline>
      </w:drawing>
    </w:r>
  </w:p>
  <w:p w:rsidR="007874E0" w:rsidRDefault="007874E0">
    <w:pPr>
      <w:spacing w:after="0"/>
      <w:jc w:val="center"/>
      <w:rPr>
        <w:rFonts w:ascii="Arial" w:hAnsi="Arial" w:cs="Arial"/>
        <w:sz w:val="20"/>
        <w:szCs w:val="20"/>
      </w:rPr>
    </w:pPr>
    <w:r>
      <w:rPr>
        <w:rFonts w:ascii="Arial" w:hAnsi="Arial" w:cs="Arial"/>
        <w:sz w:val="20"/>
        <w:szCs w:val="20"/>
      </w:rPr>
      <w:t>ESTADO DO RIO GRANDE DO SUL</w:t>
    </w:r>
  </w:p>
  <w:p w:rsidR="007874E0" w:rsidRDefault="007874E0">
    <w:pPr>
      <w:spacing w:after="0"/>
      <w:jc w:val="center"/>
      <w:rPr>
        <w:rFonts w:ascii="Arial" w:hAnsi="Arial" w:cs="Arial"/>
        <w:sz w:val="20"/>
        <w:szCs w:val="20"/>
      </w:rPr>
    </w:pPr>
    <w:r>
      <w:rPr>
        <w:rFonts w:ascii="Arial" w:hAnsi="Arial" w:cs="Arial"/>
        <w:sz w:val="20"/>
        <w:szCs w:val="20"/>
      </w:rPr>
      <w:t>SECRETARIA DO AMBIENTE E DESENVOLVIMENTO SUSTENTÁVEL</w:t>
    </w:r>
  </w:p>
  <w:p w:rsidR="007874E0" w:rsidRDefault="007874E0">
    <w:pPr>
      <w:spacing w:after="0"/>
      <w:jc w:val="center"/>
      <w:rPr>
        <w:rFonts w:ascii="Arial" w:hAnsi="Arial" w:cs="Arial"/>
        <w:sz w:val="20"/>
        <w:szCs w:val="20"/>
      </w:rPr>
    </w:pPr>
    <w:r>
      <w:rPr>
        <w:rFonts w:ascii="Arial" w:hAnsi="Arial" w:cs="Arial"/>
        <w:sz w:val="20"/>
        <w:szCs w:val="20"/>
      </w:rPr>
      <w:t>CONSELHO DE RECURSOS HÍDRICOS</w:t>
    </w:r>
  </w:p>
  <w:p w:rsidR="007874E0" w:rsidRDefault="007874E0">
    <w:pPr>
      <w:spacing w:after="0"/>
      <w:jc w:val="center"/>
      <w:rPr>
        <w:rFonts w:ascii="Arial" w:hAnsi="Arial" w:cs="Arial"/>
        <w:sz w:val="20"/>
        <w:szCs w:val="20"/>
      </w:rPr>
    </w:pPr>
    <w:r>
      <w:rPr>
        <w:rFonts w:ascii="Arial" w:hAnsi="Arial" w:cs="Arial"/>
        <w:sz w:val="20"/>
        <w:szCs w:val="20"/>
      </w:rPr>
      <w:t>CÂMARA TÉCNICA DE ASSUNTOS INSTITUCIONAIS E JURÍDICOS - CTIJ</w:t>
    </w:r>
  </w:p>
  <w:p w:rsidR="007874E0" w:rsidRDefault="007874E0">
    <w:pPr>
      <w:spacing w:after="0"/>
      <w:jc w:val="center"/>
      <w:rPr>
        <w:rFonts w:ascii="Arial" w:hAnsi="Arial" w:cs="Arial"/>
        <w:sz w:val="20"/>
        <w:szCs w:val="20"/>
      </w:rPr>
    </w:pPr>
    <w:r>
      <w:rPr>
        <w:rFonts w:ascii="Arial" w:hAnsi="Arial" w:cs="Arial"/>
        <w:sz w:val="20"/>
        <w:szCs w:val="20"/>
      </w:rPr>
      <w:t>ATA Nº 45/18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36"/>
    <w:rsid w:val="00000C0D"/>
    <w:rsid w:val="00043AA3"/>
    <w:rsid w:val="000465F8"/>
    <w:rsid w:val="00082436"/>
    <w:rsid w:val="0009688C"/>
    <w:rsid w:val="000B439D"/>
    <w:rsid w:val="000D4F1A"/>
    <w:rsid w:val="000D67CE"/>
    <w:rsid w:val="000E72D0"/>
    <w:rsid w:val="001A497E"/>
    <w:rsid w:val="00265797"/>
    <w:rsid w:val="00271CF7"/>
    <w:rsid w:val="002B52FC"/>
    <w:rsid w:val="002C1718"/>
    <w:rsid w:val="002F7FA1"/>
    <w:rsid w:val="00313CB1"/>
    <w:rsid w:val="003D79EB"/>
    <w:rsid w:val="005B7F19"/>
    <w:rsid w:val="00617761"/>
    <w:rsid w:val="00652129"/>
    <w:rsid w:val="006535ED"/>
    <w:rsid w:val="006B7585"/>
    <w:rsid w:val="007874E0"/>
    <w:rsid w:val="007C750C"/>
    <w:rsid w:val="00820065"/>
    <w:rsid w:val="00830E73"/>
    <w:rsid w:val="008F7161"/>
    <w:rsid w:val="00957EDB"/>
    <w:rsid w:val="00992DEA"/>
    <w:rsid w:val="00A30A1B"/>
    <w:rsid w:val="00A835DB"/>
    <w:rsid w:val="00A90C71"/>
    <w:rsid w:val="00AF0643"/>
    <w:rsid w:val="00BE58B6"/>
    <w:rsid w:val="00C52B38"/>
    <w:rsid w:val="00CA580C"/>
    <w:rsid w:val="00D40FB1"/>
    <w:rsid w:val="00D821C1"/>
    <w:rsid w:val="00DD2162"/>
    <w:rsid w:val="00E559DF"/>
    <w:rsid w:val="00EF58CB"/>
    <w:rsid w:val="00F13E78"/>
    <w:rsid w:val="00F403B6"/>
    <w:rsid w:val="00F77C88"/>
    <w:rsid w:val="00FB4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64"/>
    <w:pPr>
      <w:suppressAutoHyphens/>
      <w:spacing w:after="160" w:line="259" w:lineRule="auto"/>
    </w:pPr>
    <w:rPr>
      <w:rFonts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142C6B"/>
  </w:style>
  <w:style w:type="character" w:customStyle="1" w:styleId="RodapChar">
    <w:name w:val="Rodapé Char"/>
    <w:basedOn w:val="Fontepargpadro"/>
    <w:link w:val="Rodap"/>
    <w:uiPriority w:val="99"/>
    <w:rsid w:val="00142C6B"/>
  </w:style>
  <w:style w:type="character" w:customStyle="1" w:styleId="TextodebaloChar">
    <w:name w:val="Texto de balão Char"/>
    <w:basedOn w:val="Fontepargpadro"/>
    <w:link w:val="Textodebalo"/>
    <w:uiPriority w:val="99"/>
    <w:semiHidden/>
    <w:rsid w:val="00142C6B"/>
    <w:rPr>
      <w:rFonts w:ascii="Tahoma" w:hAnsi="Tahoma" w:cs="Tahoma"/>
      <w:sz w:val="16"/>
      <w:szCs w:val="16"/>
    </w:rPr>
  </w:style>
  <w:style w:type="character" w:styleId="Nmerodelinha">
    <w:name w:val="line number"/>
    <w:basedOn w:val="Fontepargpadro"/>
    <w:uiPriority w:val="99"/>
    <w:semiHidden/>
    <w:unhideWhenUsed/>
    <w:rsid w:val="00860DD0"/>
  </w:style>
  <w:style w:type="character" w:customStyle="1" w:styleId="Numeraodelinhas">
    <w:name w:val="Numeração de linhas"/>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Cabealho">
    <w:name w:val="header"/>
    <w:basedOn w:val="Normal"/>
    <w:link w:val="CabealhoChar"/>
    <w:uiPriority w:val="99"/>
    <w:unhideWhenUsed/>
    <w:rsid w:val="00142C6B"/>
    <w:pPr>
      <w:tabs>
        <w:tab w:val="center" w:pos="4252"/>
        <w:tab w:val="right" w:pos="8504"/>
      </w:tabs>
      <w:suppressAutoHyphens w:val="0"/>
      <w:spacing w:after="0" w:line="240" w:lineRule="auto"/>
    </w:pPr>
    <w:rPr>
      <w:rFonts w:cs="Calibri"/>
      <w:lang w:eastAsia="en-US"/>
    </w:rPr>
  </w:style>
  <w:style w:type="paragraph" w:styleId="Rodap">
    <w:name w:val="footer"/>
    <w:basedOn w:val="Normal"/>
    <w:link w:val="RodapChar"/>
    <w:uiPriority w:val="99"/>
    <w:unhideWhenUsed/>
    <w:rsid w:val="00142C6B"/>
    <w:pPr>
      <w:tabs>
        <w:tab w:val="center" w:pos="4252"/>
        <w:tab w:val="right" w:pos="8504"/>
      </w:tabs>
      <w:suppressAutoHyphens w:val="0"/>
      <w:spacing w:after="0" w:line="240" w:lineRule="auto"/>
    </w:pPr>
    <w:rPr>
      <w:rFonts w:cs="Calibri"/>
      <w:lang w:eastAsia="en-US"/>
    </w:rPr>
  </w:style>
  <w:style w:type="paragraph" w:styleId="Textodebalo">
    <w:name w:val="Balloon Text"/>
    <w:basedOn w:val="Normal"/>
    <w:link w:val="TextodebaloChar"/>
    <w:uiPriority w:val="99"/>
    <w:semiHidden/>
    <w:unhideWhenUsed/>
    <w:rsid w:val="00142C6B"/>
    <w:pPr>
      <w:suppressAutoHyphens w:val="0"/>
      <w:spacing w:after="0" w:line="240" w:lineRule="auto"/>
    </w:pPr>
    <w:rPr>
      <w:rFonts w:ascii="Tahoma" w:hAnsi="Tahoma" w:cs="Tahoma"/>
      <w:sz w:val="16"/>
      <w:szCs w:val="16"/>
      <w:lang w:eastAsia="en-US"/>
    </w:rPr>
  </w:style>
  <w:style w:type="paragraph" w:customStyle="1" w:styleId="Default">
    <w:name w:val="Default"/>
    <w:rsid w:val="001F5CD6"/>
    <w:pPr>
      <w:suppressAutoHyphens/>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64"/>
    <w:pPr>
      <w:suppressAutoHyphens/>
      <w:spacing w:after="160" w:line="259" w:lineRule="auto"/>
    </w:pPr>
    <w:rPr>
      <w:rFonts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142C6B"/>
  </w:style>
  <w:style w:type="character" w:customStyle="1" w:styleId="RodapChar">
    <w:name w:val="Rodapé Char"/>
    <w:basedOn w:val="Fontepargpadro"/>
    <w:link w:val="Rodap"/>
    <w:uiPriority w:val="99"/>
    <w:rsid w:val="00142C6B"/>
  </w:style>
  <w:style w:type="character" w:customStyle="1" w:styleId="TextodebaloChar">
    <w:name w:val="Texto de balão Char"/>
    <w:basedOn w:val="Fontepargpadro"/>
    <w:link w:val="Textodebalo"/>
    <w:uiPriority w:val="99"/>
    <w:semiHidden/>
    <w:rsid w:val="00142C6B"/>
    <w:rPr>
      <w:rFonts w:ascii="Tahoma" w:hAnsi="Tahoma" w:cs="Tahoma"/>
      <w:sz w:val="16"/>
      <w:szCs w:val="16"/>
    </w:rPr>
  </w:style>
  <w:style w:type="character" w:styleId="Nmerodelinha">
    <w:name w:val="line number"/>
    <w:basedOn w:val="Fontepargpadro"/>
    <w:uiPriority w:val="99"/>
    <w:semiHidden/>
    <w:unhideWhenUsed/>
    <w:rsid w:val="00860DD0"/>
  </w:style>
  <w:style w:type="character" w:customStyle="1" w:styleId="Numeraodelinhas">
    <w:name w:val="Numeração de linhas"/>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Cabealho">
    <w:name w:val="header"/>
    <w:basedOn w:val="Normal"/>
    <w:link w:val="CabealhoChar"/>
    <w:uiPriority w:val="99"/>
    <w:unhideWhenUsed/>
    <w:rsid w:val="00142C6B"/>
    <w:pPr>
      <w:tabs>
        <w:tab w:val="center" w:pos="4252"/>
        <w:tab w:val="right" w:pos="8504"/>
      </w:tabs>
      <w:suppressAutoHyphens w:val="0"/>
      <w:spacing w:after="0" w:line="240" w:lineRule="auto"/>
    </w:pPr>
    <w:rPr>
      <w:rFonts w:cs="Calibri"/>
      <w:lang w:eastAsia="en-US"/>
    </w:rPr>
  </w:style>
  <w:style w:type="paragraph" w:styleId="Rodap">
    <w:name w:val="footer"/>
    <w:basedOn w:val="Normal"/>
    <w:link w:val="RodapChar"/>
    <w:uiPriority w:val="99"/>
    <w:unhideWhenUsed/>
    <w:rsid w:val="00142C6B"/>
    <w:pPr>
      <w:tabs>
        <w:tab w:val="center" w:pos="4252"/>
        <w:tab w:val="right" w:pos="8504"/>
      </w:tabs>
      <w:suppressAutoHyphens w:val="0"/>
      <w:spacing w:after="0" w:line="240" w:lineRule="auto"/>
    </w:pPr>
    <w:rPr>
      <w:rFonts w:cs="Calibri"/>
      <w:lang w:eastAsia="en-US"/>
    </w:rPr>
  </w:style>
  <w:style w:type="paragraph" w:styleId="Textodebalo">
    <w:name w:val="Balloon Text"/>
    <w:basedOn w:val="Normal"/>
    <w:link w:val="TextodebaloChar"/>
    <w:uiPriority w:val="99"/>
    <w:semiHidden/>
    <w:unhideWhenUsed/>
    <w:rsid w:val="00142C6B"/>
    <w:pPr>
      <w:suppressAutoHyphens w:val="0"/>
      <w:spacing w:after="0" w:line="240" w:lineRule="auto"/>
    </w:pPr>
    <w:rPr>
      <w:rFonts w:ascii="Tahoma" w:hAnsi="Tahoma" w:cs="Tahoma"/>
      <w:sz w:val="16"/>
      <w:szCs w:val="16"/>
      <w:lang w:eastAsia="en-US"/>
    </w:rPr>
  </w:style>
  <w:style w:type="paragraph" w:customStyle="1" w:styleId="Default">
    <w:name w:val="Default"/>
    <w:rsid w:val="001F5CD6"/>
    <w:pPr>
      <w:suppressAutoHyphens/>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Rocha Frota</dc:creator>
  <cp:lastModifiedBy>Gabriel Rocha Frota</cp:lastModifiedBy>
  <cp:revision>2</cp:revision>
  <cp:lastPrinted>2019-01-03T16:17:00Z</cp:lastPrinted>
  <dcterms:created xsi:type="dcterms:W3CDTF">2019-01-03T16:18:00Z</dcterms:created>
  <dcterms:modified xsi:type="dcterms:W3CDTF">2019-01-03T16:18:00Z</dcterms:modified>
  <dc:language>pt-BR</dc:language>
</cp:coreProperties>
</file>